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885AB7" w14:paraId="5BE666D3" w14:textId="77777777" w:rsidTr="2C59FFEE">
        <w:tc>
          <w:tcPr>
            <w:tcW w:w="4390" w:type="dxa"/>
          </w:tcPr>
          <w:p w14:paraId="6257DCD1" w14:textId="77777777" w:rsidR="00885AB7" w:rsidRDefault="00885AB7" w:rsidP="00111FA2">
            <w:pPr>
              <w:rPr>
                <w:noProof/>
              </w:rPr>
            </w:pPr>
          </w:p>
          <w:p w14:paraId="5FBF2DB8" w14:textId="77777777" w:rsidR="00885AB7" w:rsidRDefault="00885AB7" w:rsidP="00111FA2">
            <w:pPr>
              <w:rPr>
                <w:noProof/>
              </w:rPr>
            </w:pPr>
          </w:p>
          <w:p w14:paraId="4449C5FC" w14:textId="77777777" w:rsidR="00885AB7" w:rsidRDefault="00885AB7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A6239F" wp14:editId="57B157F0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D1BBA" w14:textId="77777777" w:rsidR="00885AB7" w:rsidRDefault="00885AB7" w:rsidP="00111FA2">
            <w:pPr>
              <w:rPr>
                <w:noProof/>
              </w:rPr>
            </w:pPr>
          </w:p>
          <w:p w14:paraId="0C5D9DD8" w14:textId="77777777" w:rsidR="00885AB7" w:rsidRDefault="00885AB7" w:rsidP="00111FA2">
            <w:pPr>
              <w:tabs>
                <w:tab w:val="left" w:pos="1400"/>
              </w:tabs>
            </w:pPr>
            <w:r>
              <w:tab/>
            </w:r>
          </w:p>
          <w:p w14:paraId="7E7D10D3" w14:textId="77777777" w:rsidR="00885AB7" w:rsidRDefault="00885AB7" w:rsidP="00111FA2">
            <w:pPr>
              <w:tabs>
                <w:tab w:val="left" w:pos="1400"/>
              </w:tabs>
            </w:pPr>
          </w:p>
          <w:p w14:paraId="1EFB790C" w14:textId="77777777" w:rsidR="00885AB7" w:rsidRPr="006D39EB" w:rsidRDefault="00885AB7" w:rsidP="00111FA2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305F87B8" w14:textId="77777777" w:rsidR="00885AB7" w:rsidRDefault="00885AB7" w:rsidP="00111FA2">
            <w:r>
              <w:rPr>
                <w:noProof/>
              </w:rPr>
              <w:drawing>
                <wp:inline distT="0" distB="0" distL="0" distR="0" wp14:anchorId="49876F79" wp14:editId="6BCC5443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AB7" w:rsidRPr="004B2F23" w14:paraId="6ED2A6E0" w14:textId="77777777" w:rsidTr="2C59FFEE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31038358" w14:textId="77777777" w:rsidR="00885AB7" w:rsidRPr="004B2F23" w:rsidRDefault="00885AB7" w:rsidP="00111FA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2258CC66" w14:textId="4D06AEBA" w:rsidR="00885AB7" w:rsidRDefault="00885AB7" w:rsidP="00885AB7">
      <w:pPr>
        <w:jc w:val="center"/>
        <w:rPr>
          <w:b/>
          <w:bCs/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 w:rsidR="0006405E">
        <w:rPr>
          <w:b/>
          <w:bCs/>
          <w:i/>
          <w:iCs/>
          <w:sz w:val="40"/>
          <w:szCs w:val="40"/>
        </w:rPr>
        <w:t>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785" w14:paraId="0B55B494" w14:textId="77777777" w:rsidTr="2C59FFEE">
        <w:tc>
          <w:tcPr>
            <w:tcW w:w="9062" w:type="dxa"/>
          </w:tcPr>
          <w:p w14:paraId="4EF726CE" w14:textId="77777777" w:rsidR="003A4785" w:rsidRDefault="003A4785" w:rsidP="00111FA2">
            <w:pPr>
              <w:rPr>
                <w:noProof/>
              </w:rPr>
            </w:pPr>
            <w:bookmarkStart w:id="0" w:name="_Hlk68254102"/>
            <w:r>
              <w:rPr>
                <w:noProof/>
              </w:rPr>
              <w:drawing>
                <wp:inline distT="0" distB="0" distL="0" distR="0" wp14:anchorId="6A689254" wp14:editId="2C59FFEE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8985B" w14:textId="343E0A4A" w:rsidR="003A4785" w:rsidRDefault="001637D0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D7CC4" wp14:editId="651B2774">
                  <wp:extent cx="5760720" cy="46291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0A20E" w14:textId="4594C8BB" w:rsidR="003A4785" w:rsidRDefault="00707CF1" w:rsidP="00707CF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0DDF3A" wp14:editId="3757F267">
                  <wp:extent cx="4924424" cy="11715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4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EAEBF" w14:textId="77777777" w:rsidR="00A42471" w:rsidRPr="005553AC" w:rsidRDefault="00A42471" w:rsidP="00A42471">
      <w:pPr>
        <w:spacing w:before="120"/>
        <w:jc w:val="both"/>
        <w:rPr>
          <w:sz w:val="24"/>
          <w:szCs w:val="24"/>
        </w:rPr>
      </w:pPr>
      <w:r w:rsidRPr="37605F76">
        <w:rPr>
          <w:sz w:val="24"/>
          <w:szCs w:val="24"/>
        </w:rPr>
        <w:t>Afin d’être complète et recevable, votre demande de dérogation doit contenir les documents suivants :</w:t>
      </w:r>
    </w:p>
    <w:p w14:paraId="0D816DEB" w14:textId="53B6BF99" w:rsidR="79511188" w:rsidRDefault="79511188" w:rsidP="2C59FFEE">
      <w:pPr>
        <w:pStyle w:val="NormalWeb"/>
        <w:numPr>
          <w:ilvl w:val="0"/>
          <w:numId w:val="4"/>
        </w:numPr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sz w:val="24"/>
          <w:szCs w:val="24"/>
          <w:lang w:val="fr-BE"/>
        </w:rPr>
      </w:pPr>
      <w:r w:rsidRPr="2C59FFEE">
        <w:rPr>
          <w:sz w:val="24"/>
          <w:szCs w:val="24"/>
          <w:lang w:val="fr-BE"/>
        </w:rPr>
        <w:t xml:space="preserve">Si vous êtes mandaté (expert, </w:t>
      </w:r>
      <w:proofErr w:type="gramStart"/>
      <w:r w:rsidRPr="2C59FFEE">
        <w:rPr>
          <w:sz w:val="24"/>
          <w:szCs w:val="24"/>
          <w:lang w:val="fr-BE"/>
        </w:rPr>
        <w:t>architecte,…</w:t>
      </w:r>
      <w:proofErr w:type="gramEnd"/>
      <w:r w:rsidRPr="2C59FFEE">
        <w:rPr>
          <w:sz w:val="24"/>
          <w:szCs w:val="24"/>
          <w:lang w:val="fr-BE"/>
        </w:rPr>
        <w:t xml:space="preserve">) pour la soumission de la demande de dérogation, </w:t>
      </w:r>
      <w:r w:rsidRPr="2C59FFEE">
        <w:rPr>
          <w:b/>
          <w:bCs/>
          <w:sz w:val="24"/>
          <w:szCs w:val="24"/>
          <w:u w:val="single"/>
          <w:lang w:val="fr-BE"/>
        </w:rPr>
        <w:t>votre mandat</w:t>
      </w:r>
      <w:r w:rsidRPr="2C59FFEE">
        <w:rPr>
          <w:sz w:val="24"/>
          <w:szCs w:val="24"/>
          <w:lang w:val="fr-BE"/>
        </w:rPr>
        <w:t>, signé par le mandant, est requis</w:t>
      </w:r>
      <w:r w:rsidR="001D0DD6" w:rsidRPr="2C59FFEE">
        <w:rPr>
          <w:sz w:val="24"/>
          <w:szCs w:val="24"/>
          <w:lang w:val="fr-BE"/>
        </w:rPr>
        <w:t xml:space="preserve">. </w:t>
      </w:r>
      <w:r w:rsidR="001D0DD6" w:rsidRPr="2C59FFEE">
        <w:rPr>
          <w:sz w:val="24"/>
          <w:szCs w:val="24"/>
        </w:rPr>
        <w:t xml:space="preserve">Un modèle de mandat est disponible en </w:t>
      </w:r>
      <w:hyperlink r:id="rId15" w:history="1">
        <w:r w:rsidR="001D0DD6" w:rsidRPr="005353F1">
          <w:rPr>
            <w:rStyle w:val="Lienhypertexte"/>
            <w:sz w:val="24"/>
            <w:szCs w:val="24"/>
          </w:rPr>
          <w:t>ANNEXE 11</w:t>
        </w:r>
      </w:hyperlink>
      <w:r w:rsidR="001D0DD6" w:rsidRPr="2C59FFEE">
        <w:rPr>
          <w:sz w:val="24"/>
          <w:szCs w:val="24"/>
        </w:rPr>
        <w:t xml:space="preserve"> </w:t>
      </w:r>
      <w:r w:rsidRPr="2C59FFEE">
        <w:rPr>
          <w:sz w:val="24"/>
          <w:szCs w:val="24"/>
          <w:lang w:val="fr-BE"/>
        </w:rPr>
        <w:t xml:space="preserve"> ;</w:t>
      </w:r>
    </w:p>
    <w:p w14:paraId="523280D8" w14:textId="5984B6BB" w:rsidR="00A42471" w:rsidRPr="00606775" w:rsidRDefault="00C17EFD" w:rsidP="00A42471">
      <w:pPr>
        <w:pStyle w:val="NormalWeb"/>
        <w:numPr>
          <w:ilvl w:val="0"/>
          <w:numId w:val="4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La référence </w:t>
      </w:r>
      <w:r w:rsidR="00811B18">
        <w:rPr>
          <w:rFonts w:asciiTheme="minorHAnsi" w:hAnsiTheme="minorHAnsi" w:cstheme="minorHAnsi"/>
          <w:sz w:val="24"/>
          <w:szCs w:val="24"/>
          <w:lang w:val="fr-BE"/>
        </w:rPr>
        <w:t xml:space="preserve">– Intitulé avec date de </w:t>
      </w:r>
      <w:r w:rsidR="00CA45ED">
        <w:rPr>
          <w:rFonts w:asciiTheme="minorHAnsi" w:hAnsiTheme="minorHAnsi" w:cstheme="minorHAnsi"/>
          <w:sz w:val="24"/>
          <w:szCs w:val="24"/>
          <w:lang w:val="fr-BE"/>
        </w:rPr>
        <w:t xml:space="preserve">promulgation et </w:t>
      </w:r>
      <w:r w:rsidR="00811B18">
        <w:rPr>
          <w:rFonts w:asciiTheme="minorHAnsi" w:hAnsiTheme="minorHAnsi" w:cstheme="minorHAnsi"/>
          <w:sz w:val="24"/>
          <w:szCs w:val="24"/>
          <w:lang w:val="fr-BE"/>
        </w:rPr>
        <w:t>publication au Monite</w:t>
      </w:r>
      <w:r w:rsidR="00CA45ED">
        <w:rPr>
          <w:rFonts w:asciiTheme="minorHAnsi" w:hAnsiTheme="minorHAnsi" w:cstheme="minorHAnsi"/>
          <w:sz w:val="24"/>
          <w:szCs w:val="24"/>
          <w:lang w:val="fr-BE"/>
        </w:rPr>
        <w:t>ur Belge -</w:t>
      </w:r>
      <w:r w:rsidR="00A42471"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de l’Arrêté du Gouvernement Wallon</w:t>
      </w:r>
      <w:r w:rsidR="002557E2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C33AC7">
        <w:rPr>
          <w:rFonts w:asciiTheme="minorHAnsi" w:hAnsiTheme="minorHAnsi" w:cstheme="minorHAnsi"/>
          <w:sz w:val="24"/>
          <w:szCs w:val="24"/>
          <w:lang w:val="fr-BE"/>
        </w:rPr>
        <w:t xml:space="preserve">– AGW - </w:t>
      </w:r>
      <w:r w:rsidR="006E4D70">
        <w:rPr>
          <w:rStyle w:val="Appelnotedebasdep"/>
          <w:rFonts w:asciiTheme="minorHAnsi" w:hAnsiTheme="minorHAnsi" w:cstheme="minorHAnsi"/>
          <w:sz w:val="24"/>
          <w:szCs w:val="24"/>
          <w:lang w:val="fr-BE"/>
        </w:rPr>
        <w:footnoteReference w:id="1"/>
      </w:r>
      <w:r w:rsidR="00A42471"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217BD2">
        <w:rPr>
          <w:rFonts w:asciiTheme="minorHAnsi" w:hAnsiTheme="minorHAnsi" w:cstheme="minorHAnsi"/>
          <w:sz w:val="24"/>
          <w:szCs w:val="24"/>
          <w:lang w:val="fr-BE"/>
        </w:rPr>
        <w:t>chargeant SPAQuE</w:t>
      </w:r>
      <w:r w:rsidR="00CF1EAD">
        <w:rPr>
          <w:rFonts w:asciiTheme="minorHAnsi" w:hAnsiTheme="minorHAnsi" w:cstheme="minorHAnsi"/>
          <w:sz w:val="24"/>
          <w:szCs w:val="24"/>
          <w:lang w:val="fr-BE"/>
        </w:rPr>
        <w:t xml:space="preserve"> de procéder à des mesures de réhabilitation sur le terrain visé par la demande de dérogation</w:t>
      </w:r>
      <w:r w:rsidR="00A42471" w:rsidRPr="00CF1EAD">
        <w:rPr>
          <w:rFonts w:asciiTheme="minorHAnsi" w:hAnsiTheme="minorHAnsi" w:cstheme="minorHAnsi"/>
          <w:sz w:val="24"/>
          <w:szCs w:val="24"/>
          <w:lang w:val="fr-BE"/>
        </w:rPr>
        <w:t> ;</w:t>
      </w:r>
    </w:p>
    <w:p w14:paraId="7685C5CB" w14:textId="73CFE10A" w:rsidR="00A42471" w:rsidRPr="00606775" w:rsidRDefault="00A42471" w:rsidP="00A4247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606775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>Remarque importante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 : </w:t>
      </w:r>
      <w:r>
        <w:rPr>
          <w:rFonts w:asciiTheme="minorHAnsi" w:hAnsiTheme="minorHAnsi" w:cstheme="minorHAnsi"/>
          <w:sz w:val="24"/>
          <w:szCs w:val="24"/>
          <w:lang w:val="fr-BE"/>
        </w:rPr>
        <w:t>S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>i la référence cadastrale actuelle des parcelles visées par la demande de dérogation ne correspond pas aux références cadastrales mentionnées dans l’AGW « </w:t>
      </w:r>
      <w:proofErr w:type="gramStart"/>
      <w:r w:rsidR="002557E2">
        <w:rPr>
          <w:rFonts w:asciiTheme="minorHAnsi" w:hAnsiTheme="minorHAnsi" w:cstheme="minorHAnsi"/>
          <w:sz w:val="24"/>
          <w:szCs w:val="24"/>
          <w:lang w:val="fr-BE"/>
        </w:rPr>
        <w:t>SPAQuE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>»</w:t>
      </w:r>
      <w:proofErr w:type="gramEnd"/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 en raison de l’évolution du cadastre, </w:t>
      </w:r>
      <w:r w:rsidR="00CA45ED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>vous</w:t>
      </w:r>
      <w:r w:rsidR="00111187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 xml:space="preserve"> devez</w:t>
      </w:r>
      <w:r w:rsidRPr="007208D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BE"/>
        </w:rPr>
        <w:t xml:space="preserve"> joindre un document attestant de l’évolution cadastrale</w:t>
      </w:r>
      <w:r w:rsidRPr="00606775">
        <w:rPr>
          <w:rFonts w:asciiTheme="minorHAnsi" w:hAnsiTheme="minorHAnsi" w:cstheme="minorHAnsi"/>
          <w:sz w:val="24"/>
          <w:szCs w:val="24"/>
          <w:lang w:val="fr-BE"/>
        </w:rPr>
        <w:t xml:space="preserve">. </w:t>
      </w:r>
    </w:p>
    <w:p w14:paraId="35580A5F" w14:textId="22CD15E9" w:rsidR="00A42471" w:rsidRDefault="00A42471" w:rsidP="00A42471">
      <w:pPr>
        <w:pStyle w:val="Paragraphestandard"/>
        <w:numPr>
          <w:ilvl w:val="0"/>
          <w:numId w:val="4"/>
        </w:numPr>
        <w:spacing w:before="120" w:line="240" w:lineRule="auto"/>
        <w:jc w:val="both"/>
        <w:rPr>
          <w:rFonts w:asciiTheme="minorHAnsi" w:eastAsia="Times New Roman" w:hAnsiTheme="minorHAnsi" w:cstheme="minorHAnsi"/>
          <w:color w:val="auto"/>
          <w:lang w:val="fr-BE" w:eastAsia="fr-BE"/>
        </w:rPr>
      </w:pPr>
      <w:r w:rsidRPr="00606775">
        <w:rPr>
          <w:rFonts w:asciiTheme="minorHAnsi" w:eastAsia="Times New Roman" w:hAnsiTheme="minorHAnsi" w:cstheme="minorHAnsi"/>
          <w:color w:val="auto"/>
          <w:lang w:val="fr-BE" w:eastAsia="fr-BE"/>
        </w:rPr>
        <w:t xml:space="preserve">Un document officiel </w:t>
      </w:r>
      <w:r w:rsidR="00DB2057">
        <w:rPr>
          <w:rFonts w:asciiTheme="minorHAnsi" w:eastAsia="Times New Roman" w:hAnsiTheme="minorHAnsi" w:cstheme="minorHAnsi"/>
          <w:color w:val="auto"/>
          <w:lang w:val="fr-BE" w:eastAsia="fr-BE"/>
        </w:rPr>
        <w:t xml:space="preserve">émanant de SPAQuE </w:t>
      </w:r>
      <w:r w:rsidR="002E29C3">
        <w:rPr>
          <w:rFonts w:asciiTheme="minorHAnsi" w:eastAsia="Times New Roman" w:hAnsiTheme="minorHAnsi" w:cstheme="minorHAnsi"/>
          <w:color w:val="auto"/>
          <w:lang w:val="fr-BE" w:eastAsia="fr-BE"/>
        </w:rPr>
        <w:t>attestant de</w:t>
      </w:r>
      <w:r w:rsidRPr="00606775">
        <w:rPr>
          <w:rFonts w:asciiTheme="minorHAnsi" w:eastAsia="Times New Roman" w:hAnsiTheme="minorHAnsi" w:cstheme="minorHAnsi"/>
          <w:color w:val="auto"/>
          <w:lang w:val="fr-BE" w:eastAsia="fr-BE"/>
        </w:rPr>
        <w:t xml:space="preserve"> la bonne exécution des travaux </w:t>
      </w:r>
      <w:r w:rsidRPr="00DE6065">
        <w:rPr>
          <w:rFonts w:asciiTheme="minorHAnsi" w:eastAsia="Times New Roman" w:hAnsiTheme="minorHAnsi" w:cstheme="minorHAnsi"/>
          <w:color w:val="auto"/>
          <w:lang w:val="fr-BE" w:eastAsia="fr-BE"/>
        </w:rPr>
        <w:t>(</w:t>
      </w:r>
      <w:r w:rsidR="00A82CC0" w:rsidRPr="00DE6065">
        <w:rPr>
          <w:rFonts w:asciiTheme="minorHAnsi" w:eastAsia="Times New Roman" w:hAnsiTheme="minorHAnsi" w:cstheme="minorHAnsi"/>
          <w:color w:val="auto"/>
          <w:lang w:val="fr-BE" w:eastAsia="fr-BE"/>
        </w:rPr>
        <w:t xml:space="preserve">évaluation finale, bilan après évaluation </w:t>
      </w:r>
      <w:proofErr w:type="gramStart"/>
      <w:r w:rsidR="00A82CC0" w:rsidRPr="00DE6065">
        <w:rPr>
          <w:rFonts w:asciiTheme="minorHAnsi" w:eastAsia="Times New Roman" w:hAnsiTheme="minorHAnsi" w:cstheme="minorHAnsi"/>
          <w:color w:val="auto"/>
          <w:lang w:val="fr-BE" w:eastAsia="fr-BE"/>
        </w:rPr>
        <w:t>finale,…</w:t>
      </w:r>
      <w:proofErr w:type="gramEnd"/>
      <w:r w:rsidRPr="00DE6065">
        <w:rPr>
          <w:rFonts w:asciiTheme="minorHAnsi" w:eastAsia="Times New Roman" w:hAnsiTheme="minorHAnsi" w:cstheme="minorHAnsi"/>
          <w:color w:val="auto"/>
          <w:lang w:val="fr-BE" w:eastAsia="fr-BE"/>
        </w:rPr>
        <w:t>)</w:t>
      </w:r>
      <w:r w:rsidR="00A82CC0">
        <w:rPr>
          <w:rFonts w:asciiTheme="minorHAnsi" w:eastAsia="Times New Roman" w:hAnsiTheme="minorHAnsi" w:cstheme="minorHAnsi"/>
          <w:color w:val="auto"/>
          <w:lang w:val="fr-BE" w:eastAsia="fr-BE"/>
        </w:rPr>
        <w:t> ;</w:t>
      </w:r>
    </w:p>
    <w:p w14:paraId="0E8F183E" w14:textId="2FC11937" w:rsidR="00C207EF" w:rsidRDefault="00C207EF" w:rsidP="00C207EF">
      <w:pPr>
        <w:pStyle w:val="Paragraphestandard"/>
        <w:spacing w:before="120" w:line="240" w:lineRule="auto"/>
        <w:ind w:left="720"/>
        <w:jc w:val="both"/>
        <w:rPr>
          <w:rFonts w:asciiTheme="minorHAnsi" w:eastAsia="Times New Roman" w:hAnsiTheme="minorHAnsi" w:cstheme="minorHAnsi"/>
          <w:color w:val="auto"/>
          <w:lang w:val="fr-BE" w:eastAsia="fr-BE"/>
        </w:rPr>
      </w:pPr>
    </w:p>
    <w:p w14:paraId="4388BD0E" w14:textId="77777777" w:rsidR="00C207EF" w:rsidRPr="00702AE2" w:rsidRDefault="00C207EF" w:rsidP="00C207EF">
      <w:pPr>
        <w:pStyle w:val="Paragraphedeliste"/>
        <w:shd w:val="clear" w:color="auto" w:fill="C5E0B3" w:themeFill="accent6" w:themeFillTint="66"/>
        <w:ind w:left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Remarque importante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: Si vous demandez à déroger à la réalisation d’une étude d’orientation requise dans 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le cas III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footnoteReference w:id="2"/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du formulaire, le document susmentionné doit avoir été délivré 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moins de 5 ans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avant la survenance de l’élément générateur.</w:t>
      </w:r>
    </w:p>
    <w:p w14:paraId="6FC99255" w14:textId="77777777" w:rsidR="00C207EF" w:rsidRDefault="00C207EF" w:rsidP="00C207EF">
      <w:pPr>
        <w:pStyle w:val="Paragraphedeliste"/>
        <w:jc w:val="both"/>
        <w:rPr>
          <w:sz w:val="24"/>
          <w:szCs w:val="24"/>
        </w:rPr>
      </w:pPr>
    </w:p>
    <w:p w14:paraId="4FABD265" w14:textId="77777777" w:rsidR="00A42471" w:rsidRPr="00A54626" w:rsidRDefault="00A42471" w:rsidP="00A42471">
      <w:pPr>
        <w:pStyle w:val="Paragraphedeliste"/>
        <w:numPr>
          <w:ilvl w:val="0"/>
          <w:numId w:val="5"/>
        </w:numPr>
        <w:jc w:val="both"/>
        <w:rPr>
          <w:rStyle w:val="eop"/>
          <w:sz w:val="24"/>
          <w:szCs w:val="24"/>
        </w:rPr>
      </w:pP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 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est concernée par la demande de dérogation, il convient de joindre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A défaut, la demande de dérogation sera considérée comme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5462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0DB345B6" w14:textId="77777777" w:rsidR="00A42471" w:rsidRPr="00606775" w:rsidRDefault="00A42471" w:rsidP="00A42471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B0F0"/>
          <w:sz w:val="24"/>
          <w:szCs w:val="24"/>
          <w:lang w:val="fr-BE"/>
        </w:rPr>
      </w:pPr>
    </w:p>
    <w:p w14:paraId="326E1ED5" w14:textId="77F2D80A" w:rsidR="00F85A25" w:rsidRPr="00E1317C" w:rsidRDefault="00F85A25" w:rsidP="00F85A25">
      <w:pPr>
        <w:pStyle w:val="Paragraphedeliste"/>
        <w:numPr>
          <w:ilvl w:val="0"/>
          <w:numId w:val="5"/>
        </w:numPr>
        <w:jc w:val="both"/>
        <w:rPr>
          <w:rStyle w:val="normaltextrun"/>
          <w:b/>
          <w:bCs/>
          <w:sz w:val="28"/>
          <w:szCs w:val="28"/>
          <w:u w:val="single"/>
        </w:rPr>
      </w:pP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Une </w:t>
      </w:r>
      <w:r w:rsidRPr="00712D0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déclaration sur l’honneur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 précisant que vous n’avez pas connaissance de pollution postérieure, de pollution non investiguée ou d’élément significatif intervenu depuis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la réalisation des actes et travaux d’assainissement confiés à SPAQuE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45A192A4" w14:textId="77777777" w:rsidR="00F85A25" w:rsidRPr="00E1317C" w:rsidRDefault="00F85A25" w:rsidP="00F85A25">
      <w:pPr>
        <w:pStyle w:val="Paragraphedeliste"/>
        <w:rPr>
          <w:b/>
          <w:bCs/>
          <w:sz w:val="28"/>
          <w:szCs w:val="28"/>
          <w:u w:val="single"/>
        </w:rPr>
      </w:pPr>
    </w:p>
    <w:p w14:paraId="62837F6F" w14:textId="6DEF17AA" w:rsidR="00F85A25" w:rsidRDefault="00F85A25" w:rsidP="00F85A25">
      <w:pPr>
        <w:pStyle w:val="Paragraphedeliste"/>
        <w:jc w:val="both"/>
        <w:rPr>
          <w:rStyle w:val="normaltextrun"/>
          <w:color w:val="000000"/>
          <w:sz w:val="24"/>
          <w:szCs w:val="24"/>
          <w:shd w:val="clear" w:color="auto" w:fill="FFFFFF"/>
          <w:lang w:val="fr-BE"/>
        </w:rPr>
      </w:pP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 est disponible</w:t>
      </w:r>
      <w:r w:rsidR="1C55E9DD"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via ce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</w:t>
      </w:r>
      <w:hyperlink r:id="rId16" w:history="1">
        <w:r w:rsidRPr="005353F1">
          <w:rPr>
            <w:rStyle w:val="Lienhypertexte"/>
            <w:sz w:val="24"/>
            <w:szCs w:val="24"/>
            <w:shd w:val="clear" w:color="auto" w:fill="FFFFFF"/>
            <w:lang w:val="fr-BE"/>
          </w:rPr>
          <w:t>lien</w:t>
        </w:r>
      </w:hyperlink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Pr="42F0D4BC">
        <w:rPr>
          <w:rStyle w:val="normaltextrun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 d’orientation et qui demande à y déroger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Les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 encodées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 qui procède à la demande. A défaut la demande sera considérée comme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71FD3BCC" w14:textId="77777777" w:rsidR="003A4785" w:rsidRDefault="003A4785" w:rsidP="003A4785"/>
    <w:p w14:paraId="56269037" w14:textId="77777777" w:rsidR="00625B8E" w:rsidRDefault="00625B8E" w:rsidP="003A4785">
      <w:pPr>
        <w:rPr>
          <w:sz w:val="24"/>
          <w:szCs w:val="24"/>
        </w:rPr>
      </w:pPr>
    </w:p>
    <w:bookmarkEnd w:id="0"/>
    <w:p w14:paraId="3739C58A" w14:textId="77777777" w:rsidR="003A4785" w:rsidRPr="00E22EF1" w:rsidRDefault="003A4785" w:rsidP="00885AB7">
      <w:pPr>
        <w:jc w:val="center"/>
        <w:rPr>
          <w:i/>
          <w:iCs/>
          <w:sz w:val="40"/>
          <w:szCs w:val="40"/>
        </w:rPr>
      </w:pPr>
    </w:p>
    <w:p w14:paraId="6C58AD76" w14:textId="77777777" w:rsidR="00C845E9" w:rsidRDefault="00E41941"/>
    <w:sectPr w:rsidR="00C8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C4438" w14:textId="77777777" w:rsidR="00E41941" w:rsidRDefault="00E41941" w:rsidP="00885AB7">
      <w:pPr>
        <w:spacing w:after="0" w:line="240" w:lineRule="auto"/>
      </w:pPr>
      <w:r>
        <w:separator/>
      </w:r>
    </w:p>
  </w:endnote>
  <w:endnote w:type="continuationSeparator" w:id="0">
    <w:p w14:paraId="2A450D37" w14:textId="77777777" w:rsidR="00E41941" w:rsidRDefault="00E41941" w:rsidP="0088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8735E" w14:textId="77777777" w:rsidR="00E41941" w:rsidRDefault="00E41941" w:rsidP="00885AB7">
      <w:pPr>
        <w:spacing w:after="0" w:line="240" w:lineRule="auto"/>
      </w:pPr>
      <w:r>
        <w:separator/>
      </w:r>
    </w:p>
  </w:footnote>
  <w:footnote w:type="continuationSeparator" w:id="0">
    <w:p w14:paraId="371FCE17" w14:textId="77777777" w:rsidR="00E41941" w:rsidRDefault="00E41941" w:rsidP="00885AB7">
      <w:pPr>
        <w:spacing w:after="0" w:line="240" w:lineRule="auto"/>
      </w:pPr>
      <w:r>
        <w:continuationSeparator/>
      </w:r>
    </w:p>
  </w:footnote>
  <w:footnote w:id="1">
    <w:p w14:paraId="62557AAF" w14:textId="6EE37C2C" w:rsidR="006E4D70" w:rsidRPr="006E4D70" w:rsidRDefault="006E4D70" w:rsidP="0006405E">
      <w:pPr>
        <w:pStyle w:val="Notedebasdepage"/>
        <w:jc w:val="both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9D7BDC">
        <w:rPr>
          <w:lang w:val="fr-BE"/>
        </w:rPr>
        <w:t>Ces arrêtés sont disponible</w:t>
      </w:r>
      <w:r w:rsidR="00E502F3">
        <w:rPr>
          <w:lang w:val="fr-BE"/>
        </w:rPr>
        <w:t>s</w:t>
      </w:r>
      <w:r w:rsidR="009D7BDC">
        <w:rPr>
          <w:lang w:val="fr-BE"/>
        </w:rPr>
        <w:t xml:space="preserve"> sur le portail</w:t>
      </w:r>
      <w:r w:rsidR="00421584">
        <w:rPr>
          <w:lang w:val="fr-BE"/>
        </w:rPr>
        <w:t xml:space="preserve"> de l’Environnement en Wallonie : </w:t>
      </w:r>
      <w:hyperlink r:id="rId1" w:history="1">
        <w:r w:rsidR="00421584" w:rsidRPr="00595D04">
          <w:rPr>
            <w:rStyle w:val="Lienhypertexte"/>
            <w:lang w:val="fr-BE"/>
          </w:rPr>
          <w:t>http://environnement.wallonie.be/</w:t>
        </w:r>
      </w:hyperlink>
      <w:r w:rsidR="00421584">
        <w:rPr>
          <w:lang w:val="fr-BE"/>
        </w:rPr>
        <w:t xml:space="preserve"> </w:t>
      </w:r>
      <w:r w:rsidR="001B4B80">
        <w:rPr>
          <w:lang w:val="fr-BE"/>
        </w:rPr>
        <w:t xml:space="preserve"> </w:t>
      </w:r>
      <w:r w:rsidR="00E502F3" w:rsidRPr="00E502F3">
        <w:rPr>
          <w:rFonts w:ascii="Wingdings" w:eastAsia="Wingdings" w:hAnsi="Wingdings" w:cs="Wingdings"/>
          <w:lang w:val="fr-BE"/>
        </w:rPr>
        <w:t>à</w:t>
      </w:r>
      <w:r w:rsidR="00E502F3">
        <w:rPr>
          <w:lang w:val="fr-BE"/>
        </w:rPr>
        <w:t xml:space="preserve"> </w:t>
      </w:r>
      <w:r w:rsidR="000C46BB">
        <w:rPr>
          <w:lang w:val="fr-BE"/>
        </w:rPr>
        <w:t>Ouvrir la r</w:t>
      </w:r>
      <w:r w:rsidR="001B4B80">
        <w:rPr>
          <w:lang w:val="fr-BE"/>
        </w:rPr>
        <w:t>ubrique « Sols et Déchets »</w:t>
      </w:r>
      <w:r w:rsidR="004A5CB4">
        <w:rPr>
          <w:lang w:val="fr-BE"/>
        </w:rPr>
        <w:t xml:space="preserve">, </w:t>
      </w:r>
      <w:r w:rsidR="000C46BB">
        <w:rPr>
          <w:lang w:val="fr-BE"/>
        </w:rPr>
        <w:t xml:space="preserve">puis la </w:t>
      </w:r>
      <w:r w:rsidR="004A5CB4">
        <w:rPr>
          <w:lang w:val="fr-BE"/>
        </w:rPr>
        <w:t>sous</w:t>
      </w:r>
      <w:r w:rsidR="000C46BB">
        <w:rPr>
          <w:lang w:val="fr-BE"/>
        </w:rPr>
        <w:t>-</w:t>
      </w:r>
      <w:r w:rsidR="004A5CB4">
        <w:rPr>
          <w:lang w:val="fr-BE"/>
        </w:rPr>
        <w:t>rubrique « Législation »</w:t>
      </w:r>
      <w:r w:rsidR="00284861">
        <w:rPr>
          <w:lang w:val="fr-BE"/>
        </w:rPr>
        <w:t>. Dans le sommaire thématique de cette sous-rubrique, sélectionner « Sols et déchets</w:t>
      </w:r>
      <w:r w:rsidR="000C46BB">
        <w:rPr>
          <w:lang w:val="fr-BE"/>
        </w:rPr>
        <w:t> »</w:t>
      </w:r>
      <w:r w:rsidR="00E502F3">
        <w:rPr>
          <w:lang w:val="fr-BE"/>
        </w:rPr>
        <w:t xml:space="preserve"> puis « Réhabilitation par la SPAQuE des sols pollués ».</w:t>
      </w:r>
    </w:p>
  </w:footnote>
  <w:footnote w:id="2">
    <w:p w14:paraId="22FFB553" w14:textId="77777777" w:rsidR="00C207EF" w:rsidRPr="00FA4DF3" w:rsidRDefault="00C207EF" w:rsidP="00C207EF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2C59FFEE">
        <w:t xml:space="preserve">  </w:t>
      </w:r>
      <w:r>
        <w:rPr>
          <w:noProof/>
        </w:rPr>
        <w:drawing>
          <wp:inline distT="0" distB="0" distL="0" distR="0" wp14:anchorId="46DC011A" wp14:editId="01231505">
            <wp:extent cx="3322511" cy="10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035F8"/>
    <w:multiLevelType w:val="hybridMultilevel"/>
    <w:tmpl w:val="1AF212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D7DFC"/>
    <w:multiLevelType w:val="hybridMultilevel"/>
    <w:tmpl w:val="DF4AD58A"/>
    <w:lvl w:ilvl="0" w:tplc="BB342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814FB"/>
    <w:multiLevelType w:val="hybridMultilevel"/>
    <w:tmpl w:val="35FA25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13404"/>
    <w:multiLevelType w:val="hybridMultilevel"/>
    <w:tmpl w:val="5A423382"/>
    <w:lvl w:ilvl="0" w:tplc="5776C9A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746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4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E4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A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E8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CA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89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A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E26"/>
    <w:multiLevelType w:val="hybridMultilevel"/>
    <w:tmpl w:val="0B2AC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CD"/>
    <w:rsid w:val="00031CCD"/>
    <w:rsid w:val="0006405E"/>
    <w:rsid w:val="000C46BB"/>
    <w:rsid w:val="00111187"/>
    <w:rsid w:val="001637D0"/>
    <w:rsid w:val="001A32A2"/>
    <w:rsid w:val="001B4B80"/>
    <w:rsid w:val="001D0DD6"/>
    <w:rsid w:val="00217BD2"/>
    <w:rsid w:val="002557E2"/>
    <w:rsid w:val="00284861"/>
    <w:rsid w:val="002A3052"/>
    <w:rsid w:val="002E29C3"/>
    <w:rsid w:val="00313C1B"/>
    <w:rsid w:val="00373179"/>
    <w:rsid w:val="003A4785"/>
    <w:rsid w:val="00421584"/>
    <w:rsid w:val="004A5CB4"/>
    <w:rsid w:val="005353F1"/>
    <w:rsid w:val="00625B8E"/>
    <w:rsid w:val="0064442B"/>
    <w:rsid w:val="00646CE6"/>
    <w:rsid w:val="0066398B"/>
    <w:rsid w:val="006E4D70"/>
    <w:rsid w:val="00707CF1"/>
    <w:rsid w:val="007114A3"/>
    <w:rsid w:val="007731E3"/>
    <w:rsid w:val="00811B18"/>
    <w:rsid w:val="00885AB7"/>
    <w:rsid w:val="009D7BDC"/>
    <w:rsid w:val="00A42471"/>
    <w:rsid w:val="00A82CC0"/>
    <w:rsid w:val="00C17EFD"/>
    <w:rsid w:val="00C207EF"/>
    <w:rsid w:val="00C33AC7"/>
    <w:rsid w:val="00CA45ED"/>
    <w:rsid w:val="00CF1EAD"/>
    <w:rsid w:val="00D476C0"/>
    <w:rsid w:val="00D847F2"/>
    <w:rsid w:val="00DB2057"/>
    <w:rsid w:val="00DE6065"/>
    <w:rsid w:val="00E341D1"/>
    <w:rsid w:val="00E41941"/>
    <w:rsid w:val="00E502F3"/>
    <w:rsid w:val="00F85A25"/>
    <w:rsid w:val="1C55E9DD"/>
    <w:rsid w:val="2C59FFEE"/>
    <w:rsid w:val="37605F76"/>
    <w:rsid w:val="7951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35FB"/>
  <w15:chartTrackingRefBased/>
  <w15:docId w15:val="{C8FC07B2-EBCB-45C6-9CF1-C6E56309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31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247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42471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estandard">
    <w:name w:val="[Paragraphe standard]"/>
    <w:basedOn w:val="Normal"/>
    <w:uiPriority w:val="99"/>
    <w:semiHidden/>
    <w:rsid w:val="00A42471"/>
    <w:pPr>
      <w:autoSpaceDE w:val="0"/>
      <w:autoSpaceDN w:val="0"/>
      <w:spacing w:after="0" w:line="288" w:lineRule="auto"/>
    </w:pPr>
    <w:rPr>
      <w:rFonts w:ascii="MinionPro-Regular" w:hAnsi="MinionPro-Regular" w:cs="Calibri"/>
      <w:color w:val="000000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42471"/>
  </w:style>
  <w:style w:type="character" w:customStyle="1" w:styleId="eop">
    <w:name w:val="eop"/>
    <w:basedOn w:val="Policepardfaut"/>
    <w:rsid w:val="00A424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4D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4D7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4D70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2158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l.environnement.wallonie.be/files/Document/Formulaires/Formulaires%20decret%20sols/AnnexeASH8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sol.environnement.wallonie.be/files/Document/Formulaires/Formulaires%20decret%20sols/ANNEXE11MANDAT.doc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environnement.wallonie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2A1A-9C79-4FD1-8B48-A0B5F9070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2EC5F-83B5-4100-BA90-1231507D5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F828E-BD06-419B-8B1A-C986CE7E6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42</cp:revision>
  <dcterms:created xsi:type="dcterms:W3CDTF">2021-04-02T08:47:00Z</dcterms:created>
  <dcterms:modified xsi:type="dcterms:W3CDTF">2021-05-31T09:21:00Z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2021-04-02T08:47:13Z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80dfda1c-436f-4426-9366-93a7c291560b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